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-380999</wp:posOffset>
                </wp:positionV>
                <wp:extent cx="2286000" cy="1092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7762" y="3237075"/>
                          <a:ext cx="2276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Listening Skills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Best Practices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-380999</wp:posOffset>
                </wp:positionV>
                <wp:extent cx="2286000" cy="1092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09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4572000</wp:posOffset>
            </wp:positionH>
            <wp:positionV relativeFrom="paragraph">
              <wp:posOffset>-590549</wp:posOffset>
            </wp:positionV>
            <wp:extent cx="2286000" cy="124777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a caring adult who supports youth, 4-H volunteers play a very important role. The following are some best practices to follow when talking and interacting with youth.</w:t>
      </w:r>
    </w:p>
    <w:p w:rsidR="00000000" w:rsidDel="00000000" w:rsidP="00000000" w:rsidRDefault="00000000" w:rsidRPr="00000000">
      <w:pPr>
        <w:spacing w:before="1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before="44" w:line="266" w:lineRule="auto"/>
        <w:ind w:right="652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sz w:val="28"/>
          <w:szCs w:val="28"/>
          <w:rtl w:val="0"/>
        </w:rPr>
        <w:t xml:space="preserve">WE HAVE TWO EARS AND ONE MOUTH SO WE CAN LISTEN TWICE AS MUCH AS WE SPEAK.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” </w:t>
      </w:r>
      <w:r w:rsidDel="00000000" w:rsidR="00000000" w:rsidRPr="00000000">
        <w:rPr>
          <w:i w:val="1"/>
          <w:sz w:val="28"/>
          <w:szCs w:val="28"/>
          <w:rtl w:val="0"/>
        </w:rPr>
        <w:t xml:space="preserve">(Epictetus AD55-c135)</w:t>
      </w:r>
    </w:p>
    <w:p w:rsidR="00000000" w:rsidDel="00000000" w:rsidP="00000000" w:rsidRDefault="00000000" w:rsidRPr="00000000">
      <w:pPr>
        <w:spacing w:before="44" w:line="266" w:lineRule="auto"/>
        <w:ind w:right="652"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720" w:right="1036" w:hanging="36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your intention to listen: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“I LOOK FORWARD TO HEARING YOUR VIEWS”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720" w:right="1036" w:hanging="36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Manage your physical environment: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REDUCE DISTRACTIONS (NOISE AND DISRUPTIONS)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IGNORE FLAWS IN THE SPEAKER</w:t>
      </w:r>
      <w:r w:rsidDel="00000000" w:rsidR="00000000" w:rsidRPr="00000000">
        <w:rPr>
          <w:i w:val="1"/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DELIVERY (LIKE NERVOUS GESTURES)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720" w:right="1036" w:hanging="36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an internal commitment to listen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OPEN TO HEARING DIFFERENT PERSPECTIVES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DON’T JUDGE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MENTAL SUMMARIES ABOUT WHAT IS SAID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720" w:right="1036" w:hanging="36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Assume a listening posture: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EYE CONTACT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APPROPRIATE BODY LANGUAGE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MINIMAL ENCOURAGERS (EX.-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UH HUH”)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ALLOW FOR SILENCE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720" w:right="1036" w:hanging="36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Participate actively in the listening process: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INVITE THE SPEAKER TO SAY MORE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PARAPHRASE TO CHECK FOR UNDERSTANDING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ASK CLARIFYING QUESTIONS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TAKE NOTES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6"/>
        </w:tabs>
        <w:spacing w:after="0" w:before="1" w:line="266" w:lineRule="auto"/>
        <w:ind w:left="1440" w:right="1036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TO UNDERSTAND THE PERSPECTIVE OF THE SPEAKER WITH A STATEMENT OF RESPECT FOR THE SPEAKER’S VIEWS</w:t>
      </w:r>
    </w:p>
    <w:sectPr>
      <w:footerReference r:id="rId7" w:type="default"/>
      <w:pgSz w:h="15840" w:w="12240"/>
      <w:pgMar w:bottom="72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Rose Garritano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4-H Educator, Chittenden County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University of Vermont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